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3EB" w:rsidRDefault="00DC35DF" w:rsidP="003D6A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Novinky v konsorciu </w:t>
      </w:r>
      <w:r w:rsidR="00E433EB" w:rsidRPr="00C657A2">
        <w:rPr>
          <w:rFonts w:ascii="Times New Roman" w:hAnsi="Times New Roman" w:cs="Times New Roman"/>
          <w:b/>
          <w:sz w:val="28"/>
          <w:szCs w:val="28"/>
        </w:rPr>
        <w:t>ACTRIS</w:t>
      </w:r>
      <w:r>
        <w:rPr>
          <w:rFonts w:ascii="Times New Roman" w:hAnsi="Times New Roman" w:cs="Times New Roman"/>
          <w:b/>
          <w:sz w:val="28"/>
          <w:szCs w:val="28"/>
        </w:rPr>
        <w:t>-CZ</w:t>
      </w:r>
    </w:p>
    <w:p w:rsidR="00806428" w:rsidRPr="00C657A2" w:rsidRDefault="00806428" w:rsidP="00317611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54D0A" w:rsidRPr="00654D0A" w:rsidRDefault="00654D0A" w:rsidP="00654D0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1E2">
        <w:rPr>
          <w:rFonts w:ascii="Times New Roman" w:hAnsi="Times New Roman" w:cs="Times New Roman"/>
          <w:sz w:val="20"/>
          <w:szCs w:val="20"/>
        </w:rPr>
        <w:t>Poté, co byl projekt ACTRIS, realizovaný od roku 2011 v rámci FP7-INFRASTRUCTURES-2010-1, v roce 2015 úspěšně ukončen, pokračují aktivity v nástupnickém projektu ACTRIS-2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54D0A">
        <w:rPr>
          <w:rFonts w:ascii="Times New Roman" w:hAnsi="Times New Roman" w:cs="Times New Roman"/>
          <w:sz w:val="24"/>
          <w:szCs w:val="24"/>
        </w:rPr>
        <w:t xml:space="preserve"> </w:t>
      </w:r>
      <w:r w:rsidRPr="00C657A2">
        <w:rPr>
          <w:rFonts w:ascii="Times New Roman" w:hAnsi="Times New Roman" w:cs="Times New Roman"/>
        </w:rPr>
        <w:t>financovaným ze zdrojů rámcového programu pro výzkum a inovace Horizont 2020 (výzva H2020-INFRAIA-2014-2019).</w:t>
      </w:r>
      <w:r>
        <w:rPr>
          <w:rFonts w:ascii="Times New Roman" w:hAnsi="Times New Roman" w:cs="Times New Roman"/>
        </w:rPr>
        <w:t xml:space="preserve"> Tato fáze projektu klade větší důraz na tzv. TNA (Trans</w:t>
      </w:r>
      <w:r w:rsidR="00FF7125">
        <w:rPr>
          <w:rFonts w:ascii="Times New Roman" w:hAnsi="Times New Roman" w:cs="Times New Roman"/>
        </w:rPr>
        <w:t>-</w:t>
      </w:r>
      <w:proofErr w:type="spellStart"/>
      <w:r>
        <w:rPr>
          <w:rFonts w:ascii="Times New Roman" w:hAnsi="Times New Roman" w:cs="Times New Roman"/>
        </w:rPr>
        <w:t>national</w:t>
      </w:r>
      <w:proofErr w:type="spellEnd"/>
      <w:r>
        <w:rPr>
          <w:rFonts w:ascii="Times New Roman" w:hAnsi="Times New Roman" w:cs="Times New Roman"/>
        </w:rPr>
        <w:t xml:space="preserve"> Access). ACTRIS-2 nabízí volný přístup na 18 vybraných moderně vybavených stanic (včetně </w:t>
      </w:r>
      <w:r w:rsidR="00FF7125">
        <w:rPr>
          <w:rFonts w:ascii="Times New Roman" w:hAnsi="Times New Roman" w:cs="Times New Roman"/>
        </w:rPr>
        <w:t xml:space="preserve">sdružené stanice </w:t>
      </w:r>
      <w:r>
        <w:rPr>
          <w:rFonts w:ascii="Times New Roman" w:hAnsi="Times New Roman" w:cs="Times New Roman"/>
        </w:rPr>
        <w:t>Košetice</w:t>
      </w:r>
      <w:r w:rsidR="00FF7125">
        <w:rPr>
          <w:rFonts w:ascii="Times New Roman" w:hAnsi="Times New Roman" w:cs="Times New Roman"/>
        </w:rPr>
        <w:t>-Křešín u Pacova</w:t>
      </w:r>
      <w:r>
        <w:rPr>
          <w:rFonts w:ascii="Times New Roman" w:hAnsi="Times New Roman" w:cs="Times New Roman"/>
        </w:rPr>
        <w:t>) pro měření vertikálního profilu aerosolů, in-</w:t>
      </w:r>
      <w:proofErr w:type="spellStart"/>
      <w:r>
        <w:rPr>
          <w:rFonts w:ascii="Times New Roman" w:hAnsi="Times New Roman" w:cs="Times New Roman"/>
        </w:rPr>
        <w:t>situ</w:t>
      </w:r>
      <w:proofErr w:type="spellEnd"/>
      <w:r>
        <w:rPr>
          <w:rFonts w:ascii="Times New Roman" w:hAnsi="Times New Roman" w:cs="Times New Roman"/>
        </w:rPr>
        <w:t xml:space="preserve"> měření vlastností atmosférických aerosolů a reaktivních plynů. Dále je nabízena účast na intenzivních monitorovacích kampaních, testování přístrojů a analýze dat a v neposlední řadě i možnost tréninku studentů a mladých vědců. Příjemce za </w:t>
      </w:r>
      <w:r w:rsidR="00A02280">
        <w:rPr>
          <w:rFonts w:ascii="Times New Roman" w:hAnsi="Times New Roman" w:cs="Times New Roman"/>
        </w:rPr>
        <w:t>Č</w:t>
      </w:r>
      <w:r>
        <w:rPr>
          <w:rFonts w:ascii="Times New Roman" w:hAnsi="Times New Roman" w:cs="Times New Roman"/>
        </w:rPr>
        <w:t>eskou republiku je v tomto projektu ČHMÚ</w:t>
      </w:r>
      <w:r w:rsidR="00A02280">
        <w:rPr>
          <w:rFonts w:ascii="Times New Roman" w:hAnsi="Times New Roman" w:cs="Times New Roman"/>
        </w:rPr>
        <w:t xml:space="preserve"> (Český hydrometeorologický ústav)</w:t>
      </w:r>
      <w:r>
        <w:rPr>
          <w:rFonts w:ascii="Times New Roman" w:hAnsi="Times New Roman" w:cs="Times New Roman"/>
        </w:rPr>
        <w:t xml:space="preserve"> s</w:t>
      </w:r>
      <w:r w:rsidR="00A02280">
        <w:rPr>
          <w:rFonts w:ascii="Times New Roman" w:hAnsi="Times New Roman" w:cs="Times New Roman"/>
        </w:rPr>
        <w:t> navázanými „třetími stranami“ Ú</w:t>
      </w:r>
      <w:r>
        <w:rPr>
          <w:rFonts w:ascii="Times New Roman" w:hAnsi="Times New Roman" w:cs="Times New Roman"/>
        </w:rPr>
        <w:t>VGZ AV ČR</w:t>
      </w:r>
      <w:r w:rsidR="00A02280">
        <w:rPr>
          <w:rFonts w:ascii="Times New Roman" w:hAnsi="Times New Roman" w:cs="Times New Roman"/>
        </w:rPr>
        <w:t xml:space="preserve"> (Ústav výzkumu globální změny) a Ú</w:t>
      </w:r>
      <w:r>
        <w:rPr>
          <w:rFonts w:ascii="Times New Roman" w:hAnsi="Times New Roman" w:cs="Times New Roman"/>
        </w:rPr>
        <w:t>CHP AV ČR</w:t>
      </w:r>
      <w:r w:rsidR="00A02280">
        <w:rPr>
          <w:rFonts w:ascii="Times New Roman" w:hAnsi="Times New Roman" w:cs="Times New Roman"/>
        </w:rPr>
        <w:t xml:space="preserve"> (Ústav chemických procesů)</w:t>
      </w:r>
      <w:r>
        <w:rPr>
          <w:rFonts w:ascii="Times New Roman" w:hAnsi="Times New Roman" w:cs="Times New Roman"/>
        </w:rPr>
        <w:t xml:space="preserve">.  </w:t>
      </w:r>
      <w:bookmarkStart w:id="0" w:name="_GoBack"/>
      <w:bookmarkEnd w:id="0"/>
    </w:p>
    <w:p w:rsidR="008A790B" w:rsidRDefault="0028629E" w:rsidP="00654D0A">
      <w:pPr>
        <w:spacing w:line="360" w:lineRule="auto"/>
        <w:jc w:val="both"/>
        <w:rPr>
          <w:rFonts w:ascii="Times New Roman" w:hAnsi="Times New Roman" w:cs="Times New Roman"/>
        </w:rPr>
      </w:pPr>
      <w:r w:rsidRPr="00C657A2">
        <w:rPr>
          <w:rFonts w:ascii="Times New Roman" w:hAnsi="Times New Roman" w:cs="Times New Roman"/>
        </w:rPr>
        <w:t xml:space="preserve">Dlouhodobá strategie rozvoje ACTRIS ale </w:t>
      </w:r>
      <w:r w:rsidR="00A15437" w:rsidRPr="00C657A2">
        <w:rPr>
          <w:rFonts w:ascii="Times New Roman" w:hAnsi="Times New Roman" w:cs="Times New Roman"/>
        </w:rPr>
        <w:t xml:space="preserve">směřuje </w:t>
      </w:r>
      <w:r w:rsidRPr="00C657A2">
        <w:rPr>
          <w:rFonts w:ascii="Times New Roman" w:hAnsi="Times New Roman" w:cs="Times New Roman"/>
        </w:rPr>
        <w:t xml:space="preserve">především k </w:t>
      </w:r>
      <w:r w:rsidR="00A15437" w:rsidRPr="00C657A2">
        <w:rPr>
          <w:rFonts w:ascii="Times New Roman" w:hAnsi="Times New Roman" w:cs="Times New Roman"/>
        </w:rPr>
        <w:t xml:space="preserve"> založení </w:t>
      </w:r>
      <w:r w:rsidR="005D1CED">
        <w:rPr>
          <w:rFonts w:ascii="Times New Roman" w:hAnsi="Times New Roman" w:cs="Times New Roman"/>
        </w:rPr>
        <w:t>komplexní</w:t>
      </w:r>
      <w:r w:rsidR="00A15437" w:rsidRPr="00C657A2">
        <w:rPr>
          <w:rFonts w:ascii="Times New Roman" w:hAnsi="Times New Roman" w:cs="Times New Roman"/>
        </w:rPr>
        <w:t xml:space="preserve"> evropské výzkumné infrastruktury</w:t>
      </w:r>
      <w:r w:rsidR="005D1CED">
        <w:rPr>
          <w:rFonts w:ascii="Times New Roman" w:hAnsi="Times New Roman" w:cs="Times New Roman"/>
        </w:rPr>
        <w:t>, zaměřené na monitoring a výzkum atmosféry</w:t>
      </w:r>
      <w:r w:rsidR="00A15437" w:rsidRPr="00C657A2">
        <w:rPr>
          <w:rFonts w:ascii="Times New Roman" w:hAnsi="Times New Roman" w:cs="Times New Roman"/>
        </w:rPr>
        <w:t xml:space="preserve">. Významným krokem tímto směrem je zařazení ACTRIS RI na evropskou mapu velkých výzkumných infrastruktur ESFRI v březnu 2016. </w:t>
      </w:r>
      <w:r w:rsidRPr="00C657A2">
        <w:rPr>
          <w:rFonts w:ascii="Times New Roman" w:hAnsi="Times New Roman" w:cs="Times New Roman"/>
        </w:rPr>
        <w:t>Bezprostředně poté byly zahájeny přípravy projektu ACTRIS PPP (</w:t>
      </w:r>
      <w:r w:rsidRPr="00C657A2">
        <w:rPr>
          <w:rFonts w:ascii="Times New Roman" w:hAnsi="Times New Roman" w:cs="Times New Roman"/>
          <w:lang w:val="en-GB"/>
        </w:rPr>
        <w:t>Project Preparatory Phase</w:t>
      </w:r>
      <w:r w:rsidRPr="00C657A2">
        <w:rPr>
          <w:rFonts w:ascii="Times New Roman" w:hAnsi="Times New Roman" w:cs="Times New Roman"/>
        </w:rPr>
        <w:t>), kter</w:t>
      </w:r>
      <w:r w:rsidR="00310905">
        <w:rPr>
          <w:rFonts w:ascii="Times New Roman" w:hAnsi="Times New Roman" w:cs="Times New Roman"/>
        </w:rPr>
        <w:t>ý</w:t>
      </w:r>
      <w:r w:rsidRPr="00C657A2">
        <w:rPr>
          <w:rFonts w:ascii="Times New Roman" w:hAnsi="Times New Roman" w:cs="Times New Roman"/>
        </w:rPr>
        <w:t xml:space="preserve"> byl p</w:t>
      </w:r>
      <w:r w:rsidR="008800EE">
        <w:rPr>
          <w:rFonts w:ascii="Times New Roman" w:hAnsi="Times New Roman" w:cs="Times New Roman"/>
        </w:rPr>
        <w:t>ředložen</w:t>
      </w:r>
      <w:r w:rsidRPr="00C657A2">
        <w:rPr>
          <w:rFonts w:ascii="Times New Roman" w:hAnsi="Times New Roman" w:cs="Times New Roman"/>
        </w:rPr>
        <w:t xml:space="preserve"> EU koncem června letošního roku. </w:t>
      </w:r>
      <w:r w:rsidR="009337D5">
        <w:rPr>
          <w:rFonts w:ascii="Times New Roman" w:hAnsi="Times New Roman" w:cs="Times New Roman"/>
        </w:rPr>
        <w:t>ACTRIS PPP</w:t>
      </w:r>
      <w:r w:rsidR="00F71223">
        <w:rPr>
          <w:rFonts w:ascii="Times New Roman" w:hAnsi="Times New Roman" w:cs="Times New Roman"/>
        </w:rPr>
        <w:t xml:space="preserve"> (předpokl</w:t>
      </w:r>
      <w:r w:rsidR="00F5111E">
        <w:rPr>
          <w:rFonts w:ascii="Times New Roman" w:hAnsi="Times New Roman" w:cs="Times New Roman"/>
        </w:rPr>
        <w:t>ádané období řešení 2017</w:t>
      </w:r>
      <w:r w:rsidR="00A02280">
        <w:rPr>
          <w:rFonts w:ascii="Times New Roman" w:hAnsi="Times New Roman" w:cs="Times New Roman"/>
        </w:rPr>
        <w:t>–</w:t>
      </w:r>
      <w:r w:rsidR="00F5111E">
        <w:rPr>
          <w:rFonts w:ascii="Times New Roman" w:hAnsi="Times New Roman" w:cs="Times New Roman"/>
        </w:rPr>
        <w:t>2019)</w:t>
      </w:r>
      <w:r w:rsidR="00A66664">
        <w:rPr>
          <w:rFonts w:ascii="Times New Roman" w:hAnsi="Times New Roman" w:cs="Times New Roman"/>
        </w:rPr>
        <w:t xml:space="preserve"> </w:t>
      </w:r>
      <w:r w:rsidR="009337D5">
        <w:rPr>
          <w:rFonts w:ascii="Times New Roman" w:hAnsi="Times New Roman" w:cs="Times New Roman"/>
        </w:rPr>
        <w:t xml:space="preserve">bude hrát zásadní roli v procesu přechodu od sítě výzkumných a monitorovacích stanic, založené na několikaletých projektech EU na centrálně koordinovanou pan-evropskou výzkumnou infrastrukturu. PPP </w:t>
      </w:r>
      <w:r w:rsidR="00635681">
        <w:rPr>
          <w:rFonts w:ascii="Times New Roman" w:hAnsi="Times New Roman" w:cs="Times New Roman"/>
        </w:rPr>
        <w:t>zastřešuje</w:t>
      </w:r>
      <w:r w:rsidR="009337D5">
        <w:rPr>
          <w:rFonts w:ascii="Times New Roman" w:hAnsi="Times New Roman" w:cs="Times New Roman"/>
        </w:rPr>
        <w:t xml:space="preserve"> širokou komunitu výzkumných organizací, institucí zajišťující financování výzkumných aktivit a ministerstev</w:t>
      </w:r>
      <w:r w:rsidR="00635681">
        <w:rPr>
          <w:rFonts w:ascii="Times New Roman" w:hAnsi="Times New Roman" w:cs="Times New Roman"/>
        </w:rPr>
        <w:t>.</w:t>
      </w:r>
      <w:r w:rsidR="00654D0A">
        <w:rPr>
          <w:rFonts w:ascii="Times New Roman" w:hAnsi="Times New Roman" w:cs="Times New Roman"/>
        </w:rPr>
        <w:t xml:space="preserve"> </w:t>
      </w:r>
      <w:r w:rsidR="00635681">
        <w:rPr>
          <w:rFonts w:ascii="Times New Roman" w:hAnsi="Times New Roman" w:cs="Times New Roman"/>
        </w:rPr>
        <w:t xml:space="preserve"> </w:t>
      </w:r>
    </w:p>
    <w:p w:rsidR="008A790B" w:rsidRDefault="00F71223" w:rsidP="00654D0A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F5111E">
        <w:rPr>
          <w:rFonts w:ascii="Times New Roman" w:hAnsi="Times New Roman" w:cs="Times New Roman"/>
        </w:rPr>
        <w:t>ráce na přípravě strategie dlouhodobého vývoje ACTRIS probíhaly</w:t>
      </w:r>
      <w:r>
        <w:rPr>
          <w:rFonts w:ascii="Times New Roman" w:hAnsi="Times New Roman" w:cs="Times New Roman"/>
        </w:rPr>
        <w:t xml:space="preserve"> již z průběhu realizace ACTRIS-2 a během přípravy návrhu na zařazení ACTRIS do </w:t>
      </w:r>
      <w:r w:rsidR="008F7F3B">
        <w:rPr>
          <w:rFonts w:ascii="Times New Roman" w:hAnsi="Times New Roman" w:cs="Times New Roman"/>
        </w:rPr>
        <w:t>cestovní mapy ESFRI</w:t>
      </w:r>
      <w:r>
        <w:rPr>
          <w:rFonts w:ascii="Times New Roman" w:hAnsi="Times New Roman" w:cs="Times New Roman"/>
        </w:rPr>
        <w:t xml:space="preserve">, nicméně až </w:t>
      </w:r>
      <w:r w:rsidR="00F5111E">
        <w:rPr>
          <w:rFonts w:ascii="Times New Roman" w:hAnsi="Times New Roman" w:cs="Times New Roman"/>
        </w:rPr>
        <w:t xml:space="preserve">vlastní </w:t>
      </w:r>
      <w:r>
        <w:rPr>
          <w:rFonts w:ascii="Times New Roman" w:hAnsi="Times New Roman" w:cs="Times New Roman"/>
        </w:rPr>
        <w:t>zařazení do ESFRI umožnilo rozvinout tento proces. Plánovaná implementační fáze ACTRIS zahrnuje plánovací fázi (PPP, 2016</w:t>
      </w:r>
      <w:r w:rsidR="00A0228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>2019) a konstrukční fázi (2016</w:t>
      </w:r>
      <w:r w:rsidR="00A02280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2021). Ve vzdálenějším výhledu je očekáváno, že infrastruktura bude připravena pro provoz v předoperačním modu do roku 2021 a v plně operačním modu v roce 2025. </w:t>
      </w:r>
      <w:r w:rsidR="008F7F3B">
        <w:rPr>
          <w:rFonts w:ascii="Times New Roman" w:hAnsi="Times New Roman" w:cs="Times New Roman"/>
        </w:rPr>
        <w:t>Dlouhodobým cílem ACTRIS po dosažení plně operační fáze je provoz v tomto režimu po dobu 20 let, tedy v období 2025</w:t>
      </w:r>
      <w:r w:rsidR="00A02280">
        <w:rPr>
          <w:rFonts w:ascii="Times New Roman" w:hAnsi="Times New Roman" w:cs="Times New Roman"/>
        </w:rPr>
        <w:t>–</w:t>
      </w:r>
      <w:r w:rsidR="008F7F3B">
        <w:rPr>
          <w:rFonts w:ascii="Times New Roman" w:hAnsi="Times New Roman" w:cs="Times New Roman"/>
        </w:rPr>
        <w:t xml:space="preserve">2045. </w:t>
      </w:r>
      <w:r w:rsidR="00F5111E">
        <w:rPr>
          <w:rFonts w:ascii="Times New Roman" w:hAnsi="Times New Roman" w:cs="Times New Roman"/>
        </w:rPr>
        <w:t xml:space="preserve"> </w:t>
      </w:r>
      <w:r w:rsidR="00654D0A">
        <w:rPr>
          <w:rFonts w:ascii="Times New Roman" w:hAnsi="Times New Roman" w:cs="Times New Roman"/>
        </w:rPr>
        <w:t xml:space="preserve">Česká republika je v ACTRIS PPP reprezentována konsorciem ACTRIS-CZ s ČHMÚ jako příjemcem a </w:t>
      </w:r>
      <w:r w:rsidR="0072779A">
        <w:rPr>
          <w:rFonts w:ascii="Times New Roman" w:hAnsi="Times New Roman" w:cs="Times New Roman"/>
        </w:rPr>
        <w:t>Ú</w:t>
      </w:r>
      <w:r w:rsidR="00654D0A">
        <w:rPr>
          <w:rFonts w:ascii="Times New Roman" w:hAnsi="Times New Roman" w:cs="Times New Roman"/>
        </w:rPr>
        <w:t>VG</w:t>
      </w:r>
      <w:r w:rsidR="0072779A">
        <w:rPr>
          <w:rFonts w:ascii="Times New Roman" w:hAnsi="Times New Roman" w:cs="Times New Roman"/>
        </w:rPr>
        <w:t>Z</w:t>
      </w:r>
      <w:r w:rsidR="00654D0A">
        <w:rPr>
          <w:rFonts w:ascii="Times New Roman" w:hAnsi="Times New Roman" w:cs="Times New Roman"/>
        </w:rPr>
        <w:t xml:space="preserve"> AV ČR, </w:t>
      </w:r>
      <w:r w:rsidR="0072779A">
        <w:rPr>
          <w:rFonts w:ascii="Times New Roman" w:hAnsi="Times New Roman" w:cs="Times New Roman"/>
        </w:rPr>
        <w:t>Ú</w:t>
      </w:r>
      <w:r w:rsidR="00654D0A">
        <w:rPr>
          <w:rFonts w:ascii="Times New Roman" w:hAnsi="Times New Roman" w:cs="Times New Roman"/>
        </w:rPr>
        <w:t>CHP AV ČR a RECETOX</w:t>
      </w:r>
      <w:r w:rsidR="0072779A">
        <w:rPr>
          <w:rFonts w:ascii="Times New Roman" w:hAnsi="Times New Roman" w:cs="Times New Roman"/>
        </w:rPr>
        <w:t xml:space="preserve"> (Centrum pro výzkum toxických látek v prostředí)</w:t>
      </w:r>
      <w:r w:rsidR="00654D0A">
        <w:rPr>
          <w:rFonts w:ascii="Times New Roman" w:hAnsi="Times New Roman" w:cs="Times New Roman"/>
        </w:rPr>
        <w:t xml:space="preserve"> M</w:t>
      </w:r>
      <w:r w:rsidR="0072779A">
        <w:rPr>
          <w:rFonts w:ascii="Times New Roman" w:hAnsi="Times New Roman" w:cs="Times New Roman"/>
        </w:rPr>
        <w:t xml:space="preserve">asarykova univerzita, </w:t>
      </w:r>
      <w:r w:rsidR="00654D0A">
        <w:rPr>
          <w:rFonts w:ascii="Times New Roman" w:hAnsi="Times New Roman" w:cs="Times New Roman"/>
        </w:rPr>
        <w:t>jako „třetími stranami“</w:t>
      </w:r>
      <w:r w:rsidR="0072779A">
        <w:rPr>
          <w:rFonts w:ascii="Times New Roman" w:hAnsi="Times New Roman" w:cs="Times New Roman"/>
        </w:rPr>
        <w:t>.</w:t>
      </w:r>
    </w:p>
    <w:p w:rsidR="00654D0A" w:rsidRDefault="00654D0A" w:rsidP="00C657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654D0A" w:rsidRDefault="00A15437" w:rsidP="00C657A2">
      <w:pPr>
        <w:spacing w:after="0" w:line="360" w:lineRule="auto"/>
        <w:jc w:val="both"/>
        <w:rPr>
          <w:rFonts w:ascii="Times New Roman" w:hAnsi="Times New Roman" w:cs="Times New Roman"/>
          <w:lang w:eastAsia="cs-CZ"/>
        </w:rPr>
      </w:pPr>
      <w:r w:rsidRPr="00C657A2">
        <w:rPr>
          <w:rFonts w:ascii="Times New Roman" w:hAnsi="Times New Roman" w:cs="Times New Roman"/>
        </w:rPr>
        <w:t xml:space="preserve">V českém kontextu probíhal vývoj v souladu s doporučeními mezinárodního konsorcia. Národní konsorcium ACTRIS-CZ, které vzniklo v roce 2013, podalo v roce 2014 návrh do národní výzvy pro </w:t>
      </w:r>
      <w:r w:rsidRPr="00C657A2">
        <w:rPr>
          <w:rFonts w:ascii="Times New Roman" w:hAnsi="Times New Roman" w:cs="Times New Roman"/>
        </w:rPr>
        <w:lastRenderedPageBreak/>
        <w:t xml:space="preserve">podporu velkých výzkumných infrastruktur, který byl v roce 2015 úspěšně obhájen. Po procesu negociace v roce 2015 byl projekt od </w:t>
      </w:r>
      <w:r w:rsidR="00EE485B" w:rsidRPr="00C657A2">
        <w:rPr>
          <w:rFonts w:ascii="Times New Roman" w:hAnsi="Times New Roman" w:cs="Times New Roman"/>
        </w:rPr>
        <w:t>1.1 2016</w:t>
      </w:r>
      <w:r w:rsidRPr="00C657A2">
        <w:rPr>
          <w:rFonts w:ascii="Times New Roman" w:hAnsi="Times New Roman" w:cs="Times New Roman"/>
        </w:rPr>
        <w:t xml:space="preserve"> zahájen. Cílem projektu je dobudování a další rozvoj výzkumné infrastruktury ACTRIS-CZ, tvořící unikátní platformu pro dlouhodobý monitoring a výzkum kvality ovzduší na pozaďové úrovni a zahrnující zdravotní, klimatické i environmentální dopady změn ve složení atmosféry. </w:t>
      </w:r>
      <w:r w:rsidR="00654D0A">
        <w:rPr>
          <w:rFonts w:ascii="Times New Roman" w:hAnsi="Times New Roman" w:cs="Times New Roman"/>
        </w:rPr>
        <w:t>Úzká v</w:t>
      </w:r>
      <w:r w:rsidR="00307384">
        <w:rPr>
          <w:rFonts w:ascii="Times New Roman" w:hAnsi="Times New Roman" w:cs="Times New Roman"/>
        </w:rPr>
        <w:t xml:space="preserve">azba </w:t>
      </w:r>
      <w:r w:rsidRPr="00C657A2">
        <w:rPr>
          <w:rFonts w:ascii="Times New Roman" w:hAnsi="Times New Roman" w:cs="Times New Roman"/>
        </w:rPr>
        <w:t xml:space="preserve">ACTRIS-CZ k existující evropské </w:t>
      </w:r>
      <w:r w:rsidR="00307384">
        <w:rPr>
          <w:rFonts w:ascii="Times New Roman" w:hAnsi="Times New Roman" w:cs="Times New Roman"/>
        </w:rPr>
        <w:t xml:space="preserve">výzkumné infrastruktuře </w:t>
      </w:r>
      <w:r w:rsidRPr="00C657A2">
        <w:rPr>
          <w:rFonts w:ascii="Times New Roman" w:hAnsi="Times New Roman" w:cs="Times New Roman"/>
        </w:rPr>
        <w:t xml:space="preserve"> ACTRIS </w:t>
      </w:r>
      <w:r w:rsidR="00307384">
        <w:rPr>
          <w:rFonts w:ascii="Times New Roman" w:hAnsi="Times New Roman" w:cs="Times New Roman"/>
        </w:rPr>
        <w:t>byla pro úspěch na národní úrovni zásadní</w:t>
      </w:r>
      <w:r w:rsidRPr="00C657A2">
        <w:rPr>
          <w:rFonts w:ascii="Times New Roman" w:hAnsi="Times New Roman" w:cs="Times New Roman"/>
        </w:rPr>
        <w:t xml:space="preserve">. </w:t>
      </w:r>
      <w:r w:rsidR="00307384">
        <w:rPr>
          <w:rFonts w:ascii="Times New Roman" w:hAnsi="Times New Roman" w:cs="Times New Roman"/>
        </w:rPr>
        <w:t>Důležité</w:t>
      </w:r>
      <w:r w:rsidR="00654D0A">
        <w:rPr>
          <w:rFonts w:ascii="Times New Roman" w:hAnsi="Times New Roman" w:cs="Times New Roman"/>
          <w:lang w:eastAsia="cs-CZ"/>
        </w:rPr>
        <w:t xml:space="preserve"> je propojení s aktivitami ICOS, v</w:t>
      </w:r>
      <w:r w:rsidR="0072779A">
        <w:rPr>
          <w:rFonts w:ascii="Times New Roman" w:hAnsi="Times New Roman" w:cs="Times New Roman"/>
          <w:lang w:eastAsia="cs-CZ"/>
        </w:rPr>
        <w:t> současné době je Česká r</w:t>
      </w:r>
      <w:r w:rsidRPr="00C657A2">
        <w:rPr>
          <w:rFonts w:ascii="Times New Roman" w:hAnsi="Times New Roman" w:cs="Times New Roman"/>
          <w:lang w:eastAsia="cs-CZ"/>
        </w:rPr>
        <w:t xml:space="preserve">epublika jedním z prvních států v Evropě, kde jsou aktivity ACTRIS a ICOS realizovány na jedné lokalitě. </w:t>
      </w:r>
      <w:r w:rsidRPr="00C657A2">
        <w:rPr>
          <w:rFonts w:ascii="Times New Roman" w:hAnsi="Times New Roman" w:cs="Times New Roman"/>
        </w:rPr>
        <w:t xml:space="preserve">Rozvoj je plánován v souladu s dlouhodobými cíli jak mezinárodní </w:t>
      </w:r>
      <w:r w:rsidR="00307384">
        <w:rPr>
          <w:rFonts w:ascii="Times New Roman" w:hAnsi="Times New Roman" w:cs="Times New Roman"/>
        </w:rPr>
        <w:t xml:space="preserve">výzkumné infrastruktury </w:t>
      </w:r>
      <w:r w:rsidRPr="00C657A2">
        <w:rPr>
          <w:rFonts w:ascii="Times New Roman" w:hAnsi="Times New Roman" w:cs="Times New Roman"/>
        </w:rPr>
        <w:t xml:space="preserve">ACTRIS, tak </w:t>
      </w:r>
      <w:r w:rsidRPr="00C657A2">
        <w:rPr>
          <w:rFonts w:ascii="Times New Roman" w:hAnsi="Times New Roman" w:cs="Times New Roman"/>
          <w:lang w:eastAsia="cs-CZ"/>
        </w:rPr>
        <w:t>i národního konsorcia.</w:t>
      </w:r>
    </w:p>
    <w:p w:rsidR="00A15437" w:rsidRPr="00C657A2" w:rsidRDefault="00A15437" w:rsidP="00C657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C657A2">
        <w:rPr>
          <w:rFonts w:ascii="Times New Roman" w:hAnsi="Times New Roman" w:cs="Times New Roman"/>
        </w:rPr>
        <w:t xml:space="preserve">   </w:t>
      </w:r>
    </w:p>
    <w:p w:rsidR="00A15437" w:rsidRDefault="00A15437" w:rsidP="00C657A2">
      <w:pPr>
        <w:spacing w:after="0" w:line="360" w:lineRule="auto"/>
        <w:jc w:val="both"/>
        <w:rPr>
          <w:rFonts w:ascii="Times New Roman" w:hAnsi="Times New Roman" w:cs="Times New Roman"/>
        </w:rPr>
      </w:pPr>
      <w:r w:rsidRPr="005F4293">
        <w:rPr>
          <w:rFonts w:ascii="Times New Roman" w:hAnsi="Times New Roman" w:cs="Times New Roman"/>
        </w:rPr>
        <w:t>ACTRIS představuje významn</w:t>
      </w:r>
      <w:r w:rsidR="005F4293" w:rsidRPr="005F4293">
        <w:rPr>
          <w:rFonts w:ascii="Times New Roman" w:hAnsi="Times New Roman" w:cs="Times New Roman"/>
        </w:rPr>
        <w:t>ou evropskou výzkumnou infrastrukturu na poli výzkumu a monitoringu atmosféry.</w:t>
      </w:r>
      <w:r w:rsidRPr="005F4293">
        <w:rPr>
          <w:rFonts w:ascii="Times New Roman" w:hAnsi="Times New Roman" w:cs="Times New Roman"/>
        </w:rPr>
        <w:t xml:space="preserve"> Svým konceptem dlouhodobě přispívá k soustavnému vylepšování měřících technik, postupů a zajišťuje </w:t>
      </w:r>
      <w:r w:rsidR="005F4293" w:rsidRPr="005F4293">
        <w:rPr>
          <w:rFonts w:ascii="Times New Roman" w:hAnsi="Times New Roman" w:cs="Times New Roman"/>
        </w:rPr>
        <w:t>kontinuální</w:t>
      </w:r>
      <w:r w:rsidRPr="005F4293">
        <w:rPr>
          <w:rFonts w:ascii="Times New Roman" w:hAnsi="Times New Roman" w:cs="Times New Roman"/>
        </w:rPr>
        <w:t xml:space="preserve"> </w:t>
      </w:r>
      <w:r w:rsidR="005F4293" w:rsidRPr="005F4293">
        <w:rPr>
          <w:rFonts w:ascii="Times New Roman" w:hAnsi="Times New Roman" w:cs="Times New Roman"/>
        </w:rPr>
        <w:t xml:space="preserve">kontrolu </w:t>
      </w:r>
      <w:r w:rsidRPr="005F4293">
        <w:rPr>
          <w:rFonts w:ascii="Times New Roman" w:hAnsi="Times New Roman" w:cs="Times New Roman"/>
        </w:rPr>
        <w:t xml:space="preserve">kvality měřených dat. </w:t>
      </w:r>
      <w:r w:rsidR="0058262A">
        <w:rPr>
          <w:rFonts w:ascii="Times New Roman" w:hAnsi="Times New Roman" w:cs="Times New Roman"/>
        </w:rPr>
        <w:t xml:space="preserve">Zabezpečení pan-Evropské koordinace v dlouhodobém horizontu umožní optimalizované a racionální využití prostředků investovaných členskými státy.  </w:t>
      </w:r>
      <w:r w:rsidRPr="005F4293">
        <w:rPr>
          <w:rFonts w:ascii="Times New Roman" w:hAnsi="Times New Roman" w:cs="Times New Roman"/>
        </w:rPr>
        <w:t xml:space="preserve">Účast </w:t>
      </w:r>
      <w:r w:rsidR="005F4293" w:rsidRPr="005F4293">
        <w:rPr>
          <w:rFonts w:ascii="Times New Roman" w:hAnsi="Times New Roman" w:cs="Times New Roman"/>
        </w:rPr>
        <w:t xml:space="preserve">ČR </w:t>
      </w:r>
      <w:r w:rsidRPr="005F4293">
        <w:rPr>
          <w:rFonts w:ascii="Times New Roman" w:hAnsi="Times New Roman" w:cs="Times New Roman"/>
        </w:rPr>
        <w:t>v</w:t>
      </w:r>
      <w:r w:rsidR="0058262A">
        <w:rPr>
          <w:rFonts w:ascii="Times New Roman" w:hAnsi="Times New Roman" w:cs="Times New Roman"/>
        </w:rPr>
        <w:t>e výzkumné infrastruktuře</w:t>
      </w:r>
      <w:r w:rsidRPr="005F4293">
        <w:rPr>
          <w:rFonts w:ascii="Times New Roman" w:hAnsi="Times New Roman" w:cs="Times New Roman"/>
        </w:rPr>
        <w:t xml:space="preserve"> ACTRIS umožnuje </w:t>
      </w:r>
      <w:r w:rsidR="005F4293" w:rsidRPr="005F4293">
        <w:rPr>
          <w:rFonts w:ascii="Times New Roman" w:hAnsi="Times New Roman" w:cs="Times New Roman"/>
        </w:rPr>
        <w:t xml:space="preserve">realizaci a zejména finanční </w:t>
      </w:r>
      <w:r w:rsidR="005F0AB1">
        <w:rPr>
          <w:rFonts w:ascii="Times New Roman" w:hAnsi="Times New Roman" w:cs="Times New Roman"/>
        </w:rPr>
        <w:t>zajištění</w:t>
      </w:r>
      <w:r w:rsidR="005F4293">
        <w:rPr>
          <w:rFonts w:ascii="Times New Roman" w:hAnsi="Times New Roman" w:cs="Times New Roman"/>
        </w:rPr>
        <w:t xml:space="preserve"> dlouhodobého monitoringu</w:t>
      </w:r>
      <w:r w:rsidR="005F4293" w:rsidRPr="005F4293">
        <w:rPr>
          <w:rFonts w:ascii="Times New Roman" w:hAnsi="Times New Roman" w:cs="Times New Roman"/>
        </w:rPr>
        <w:t xml:space="preserve"> kvality ovzduší</w:t>
      </w:r>
      <w:r w:rsidR="005F4293">
        <w:rPr>
          <w:rFonts w:ascii="Times New Roman" w:hAnsi="Times New Roman" w:cs="Times New Roman"/>
        </w:rPr>
        <w:t xml:space="preserve"> na regionální úrovni. </w:t>
      </w:r>
    </w:p>
    <w:p w:rsidR="006172AD" w:rsidRDefault="006172AD" w:rsidP="00C657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5437" w:rsidRPr="00C657A2" w:rsidRDefault="00A15437" w:rsidP="00C657A2">
      <w:pPr>
        <w:spacing w:after="0" w:line="360" w:lineRule="auto"/>
        <w:jc w:val="both"/>
        <w:rPr>
          <w:rFonts w:ascii="Times New Roman" w:hAnsi="Times New Roman" w:cs="Times New Roman"/>
        </w:rPr>
      </w:pPr>
    </w:p>
    <w:p w:rsidR="00A15437" w:rsidRPr="00C657A2" w:rsidRDefault="00A15437" w:rsidP="00C657A2">
      <w:pPr>
        <w:spacing w:line="360" w:lineRule="auto"/>
        <w:jc w:val="both"/>
        <w:rPr>
          <w:rFonts w:ascii="Times New Roman" w:hAnsi="Times New Roman" w:cs="Times New Roman"/>
          <w:bCs/>
        </w:rPr>
      </w:pPr>
    </w:p>
    <w:p w:rsidR="00A079D3" w:rsidRPr="00C657A2" w:rsidRDefault="00834EC6" w:rsidP="00C657A2">
      <w:pPr>
        <w:spacing w:line="360" w:lineRule="auto"/>
        <w:rPr>
          <w:rFonts w:ascii="Times New Roman" w:hAnsi="Times New Roman" w:cs="Times New Roman"/>
        </w:rPr>
      </w:pPr>
      <w:r w:rsidRPr="00C657A2">
        <w:rPr>
          <w:rFonts w:ascii="Times New Roman" w:hAnsi="Times New Roman" w:cs="Times New Roman"/>
        </w:rPr>
        <w:t xml:space="preserve"> </w:t>
      </w:r>
    </w:p>
    <w:sectPr w:rsidR="00A079D3" w:rsidRPr="00C65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2227F5"/>
    <w:multiLevelType w:val="hybridMultilevel"/>
    <w:tmpl w:val="2A348AD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B3C21"/>
    <w:multiLevelType w:val="hybridMultilevel"/>
    <w:tmpl w:val="CD3056B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970536"/>
    <w:multiLevelType w:val="hybridMultilevel"/>
    <w:tmpl w:val="274A8EC6"/>
    <w:lvl w:ilvl="0" w:tplc="DA2A3D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AC916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0A4E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B0C3A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27427C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41A78C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E9E39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8503B1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B6F3D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005D34"/>
    <w:multiLevelType w:val="hybridMultilevel"/>
    <w:tmpl w:val="C64ABD38"/>
    <w:lvl w:ilvl="0" w:tplc="04090001">
      <w:start w:val="1"/>
      <w:numFmt w:val="bullet"/>
      <w:lvlText w:val=""/>
      <w:lvlJc w:val="left"/>
      <w:pPr>
        <w:ind w:left="10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15" w:hanging="360"/>
      </w:pPr>
      <w:rPr>
        <w:rFonts w:ascii="Wingdings" w:hAnsi="Wingdings" w:hint="default"/>
      </w:rPr>
    </w:lvl>
  </w:abstractNum>
  <w:abstractNum w:abstractNumId="4">
    <w:nsid w:val="578C63A5"/>
    <w:multiLevelType w:val="multilevel"/>
    <w:tmpl w:val="D4A41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E31352D"/>
    <w:multiLevelType w:val="hybridMultilevel"/>
    <w:tmpl w:val="A0F43C1C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4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6545"/>
    <w:rsid w:val="00014BFF"/>
    <w:rsid w:val="00072161"/>
    <w:rsid w:val="0010776C"/>
    <w:rsid w:val="00215E36"/>
    <w:rsid w:val="002764A3"/>
    <w:rsid w:val="0028629E"/>
    <w:rsid w:val="00307384"/>
    <w:rsid w:val="00310905"/>
    <w:rsid w:val="00317611"/>
    <w:rsid w:val="00342731"/>
    <w:rsid w:val="003A2DCA"/>
    <w:rsid w:val="003C76BA"/>
    <w:rsid w:val="003D6A93"/>
    <w:rsid w:val="00420FFF"/>
    <w:rsid w:val="0046536C"/>
    <w:rsid w:val="004970C0"/>
    <w:rsid w:val="0058262A"/>
    <w:rsid w:val="005D1CED"/>
    <w:rsid w:val="005F0AB1"/>
    <w:rsid w:val="005F4293"/>
    <w:rsid w:val="006172AD"/>
    <w:rsid w:val="00626996"/>
    <w:rsid w:val="00635681"/>
    <w:rsid w:val="00654D0A"/>
    <w:rsid w:val="00724BA5"/>
    <w:rsid w:val="0072779A"/>
    <w:rsid w:val="00747EBF"/>
    <w:rsid w:val="00806428"/>
    <w:rsid w:val="00834EC6"/>
    <w:rsid w:val="00855D7B"/>
    <w:rsid w:val="008800EE"/>
    <w:rsid w:val="008A790B"/>
    <w:rsid w:val="008F7F3B"/>
    <w:rsid w:val="009337D5"/>
    <w:rsid w:val="00943FFF"/>
    <w:rsid w:val="009E4ECB"/>
    <w:rsid w:val="00A00D94"/>
    <w:rsid w:val="00A02280"/>
    <w:rsid w:val="00A06090"/>
    <w:rsid w:val="00A079D3"/>
    <w:rsid w:val="00A11D09"/>
    <w:rsid w:val="00A15437"/>
    <w:rsid w:val="00A5471C"/>
    <w:rsid w:val="00A66664"/>
    <w:rsid w:val="00A87859"/>
    <w:rsid w:val="00B701E2"/>
    <w:rsid w:val="00C121B9"/>
    <w:rsid w:val="00C16545"/>
    <w:rsid w:val="00C232EA"/>
    <w:rsid w:val="00C6277D"/>
    <w:rsid w:val="00C657A2"/>
    <w:rsid w:val="00CA36AC"/>
    <w:rsid w:val="00DC35DF"/>
    <w:rsid w:val="00DD5360"/>
    <w:rsid w:val="00DD66B5"/>
    <w:rsid w:val="00E433EB"/>
    <w:rsid w:val="00E51A7B"/>
    <w:rsid w:val="00EE485B"/>
    <w:rsid w:val="00EE5844"/>
    <w:rsid w:val="00F41989"/>
    <w:rsid w:val="00F46689"/>
    <w:rsid w:val="00F5111E"/>
    <w:rsid w:val="00F71223"/>
    <w:rsid w:val="00F85C08"/>
    <w:rsid w:val="00F9684F"/>
    <w:rsid w:val="00FD14F6"/>
    <w:rsid w:val="00FF7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9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69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65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25397">
          <w:marLeft w:val="965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90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563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42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9818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9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46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552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2354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1184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84443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608</Words>
  <Characters>3591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4191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VÁŇA MILAN, RNDr. Ph.D.</dc:creator>
  <cp:lastModifiedBy>Hanka</cp:lastModifiedBy>
  <cp:revision>4</cp:revision>
  <cp:lastPrinted>2016-08-02T07:57:00Z</cp:lastPrinted>
  <dcterms:created xsi:type="dcterms:W3CDTF">2016-09-06T10:19:00Z</dcterms:created>
  <dcterms:modified xsi:type="dcterms:W3CDTF">2016-09-06T10:43:00Z</dcterms:modified>
</cp:coreProperties>
</file>